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3659"/>
      </w:tblGrid>
      <w:tr w:rsidR="00F4711F">
        <w:trPr>
          <w:trHeight w:hRule="exact" w:val="3222"/>
        </w:trPr>
        <w:tc>
          <w:tcPr>
            <w:tcW w:w="7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711F" w:rsidRDefault="00390856">
            <w:pPr>
              <w:spacing w:before="318" w:line="350" w:lineRule="exact"/>
              <w:ind w:right="8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32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</w:rPr>
              <w:t>GREGG A. NATHANSON, ESQ.</w:t>
            </w:r>
          </w:p>
          <w:p w:rsidR="00F4711F" w:rsidRDefault="00390856">
            <w:pPr>
              <w:spacing w:before="43" w:after="157" w:line="293" w:lineRule="exact"/>
              <w:ind w:left="792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COUZENS, LANSKY, FEALK, ELLIS, </w:t>
            </w:r>
            <w:r>
              <w:rPr>
                <w:rFonts w:ascii="Arial" w:eastAsia="Arial" w:hAnsi="Arial"/>
                <w:b/>
                <w:color w:val="000000"/>
              </w:rPr>
              <w:br/>
              <w:t xml:space="preserve">ROEDER &amp; LAZAR, P.C. </w:t>
            </w:r>
            <w:r>
              <w:rPr>
                <w:rFonts w:ascii="Arial" w:eastAsia="Arial" w:hAnsi="Arial"/>
                <w:b/>
                <w:color w:val="000000"/>
              </w:rPr>
              <w:br/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39395 West Twelve Mile Road, Suite 200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Farmington Hills, Michigan 48331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Telephone (248) 489-8600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Telecopier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(248) 324-3087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E-Mail </w:t>
            </w:r>
            <w:hyperlink r:id="rId6">
              <w:r>
                <w:rPr>
                  <w:rFonts w:ascii="Arial" w:eastAsia="Arial" w:hAnsi="Arial"/>
                  <w:b/>
                  <w:color w:val="0000FF"/>
                  <w:sz w:val="20"/>
                  <w:u w:val="single"/>
                </w:rPr>
                <w:t>gregg.nathanson@couzens.com</w:t>
              </w:r>
            </w:hyperlink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Website </w:t>
            </w:r>
            <w:hyperlink r:id="rId7">
              <w:r>
                <w:rPr>
                  <w:rFonts w:ascii="Arial" w:eastAsia="Arial" w:hAnsi="Arial"/>
                  <w:b/>
                  <w:color w:val="0000FF"/>
                  <w:sz w:val="20"/>
                  <w:u w:val="single"/>
                </w:rPr>
                <w:t>www.couzens.com</w:t>
              </w:r>
            </w:hyperlink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711F" w:rsidRDefault="00390856">
            <w:pPr>
              <w:spacing w:before="1"/>
              <w:ind w:right="1384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444625" cy="204533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11F" w:rsidRDefault="00F4711F">
      <w:pPr>
        <w:spacing w:after="417" w:line="20" w:lineRule="exact"/>
      </w:pPr>
    </w:p>
    <w:p w:rsidR="00F4711F" w:rsidRDefault="00390856">
      <w:pPr>
        <w:spacing w:line="229" w:lineRule="exact"/>
        <w:ind w:firstLine="72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Bar Admissions</w:t>
      </w:r>
      <w:r>
        <w:rPr>
          <w:rFonts w:ascii="Arial" w:eastAsia="Arial" w:hAnsi="Arial"/>
          <w:color w:val="000000"/>
          <w:sz w:val="20"/>
        </w:rPr>
        <w:t>: 1985, New York; 1986, Michigan and U.S. District Court, Southern District of New York and Eastern District of New York; 1988, U.S. District Court, Eastern District of Michigan and Western District of Michigan. Licensed Real Estate Broker.</w:t>
      </w:r>
    </w:p>
    <w:p w:rsidR="00F4711F" w:rsidRDefault="00390856">
      <w:pPr>
        <w:spacing w:line="412" w:lineRule="exact"/>
        <w:ind w:left="720" w:right="21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Education</w:t>
      </w:r>
      <w:r>
        <w:rPr>
          <w:rFonts w:ascii="Arial" w:eastAsia="Arial" w:hAnsi="Arial"/>
          <w:color w:val="000000"/>
          <w:sz w:val="20"/>
        </w:rPr>
        <w:t xml:space="preserve">: University of Michigan (B.A., with distinction 1980); New York University School of Law (J.D. 1984). </w:t>
      </w:r>
      <w:r>
        <w:rPr>
          <w:rFonts w:ascii="Arial" w:eastAsia="Arial" w:hAnsi="Arial"/>
          <w:b/>
          <w:color w:val="000000"/>
          <w:sz w:val="20"/>
        </w:rPr>
        <w:t>Practice Areas</w:t>
      </w:r>
      <w:r>
        <w:rPr>
          <w:rFonts w:ascii="Arial" w:eastAsia="Arial" w:hAnsi="Arial"/>
          <w:color w:val="000000"/>
          <w:sz w:val="20"/>
        </w:rPr>
        <w:t>: Real Estate, Environmental, Corporate, Finance and Business Law.</w:t>
      </w:r>
    </w:p>
    <w:p w:rsidR="00F4711F" w:rsidRDefault="00390856">
      <w:pPr>
        <w:spacing w:before="168" w:line="236" w:lineRule="exact"/>
        <w:ind w:firstLine="72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Editor</w:t>
      </w:r>
      <w:r>
        <w:rPr>
          <w:rFonts w:ascii="Arial" w:eastAsia="Arial" w:hAnsi="Arial"/>
          <w:color w:val="000000"/>
          <w:sz w:val="20"/>
        </w:rPr>
        <w:t>: M</w:t>
      </w:r>
      <w:r>
        <w:rPr>
          <w:rFonts w:ascii="Arial" w:eastAsia="Arial" w:hAnsi="Arial"/>
          <w:color w:val="000000"/>
          <w:sz w:val="16"/>
        </w:rPr>
        <w:t xml:space="preserve">ICHIGAN </w:t>
      </w:r>
      <w:r>
        <w:rPr>
          <w:rFonts w:ascii="Arial" w:eastAsia="Arial" w:hAnsi="Arial"/>
          <w:color w:val="000000"/>
          <w:sz w:val="20"/>
        </w:rPr>
        <w:t>R</w:t>
      </w:r>
      <w:r>
        <w:rPr>
          <w:rFonts w:ascii="Arial" w:eastAsia="Arial" w:hAnsi="Arial"/>
          <w:color w:val="000000"/>
          <w:sz w:val="16"/>
        </w:rPr>
        <w:t xml:space="preserve">ESIDENTIAL </w:t>
      </w:r>
      <w:r>
        <w:rPr>
          <w:rFonts w:ascii="Arial" w:eastAsia="Arial" w:hAnsi="Arial"/>
          <w:color w:val="000000"/>
          <w:sz w:val="20"/>
        </w:rPr>
        <w:t>R</w:t>
      </w:r>
      <w:r>
        <w:rPr>
          <w:rFonts w:ascii="Arial" w:eastAsia="Arial" w:hAnsi="Arial"/>
          <w:color w:val="000000"/>
          <w:sz w:val="16"/>
        </w:rPr>
        <w:t xml:space="preserve">EAL </w:t>
      </w:r>
      <w:r>
        <w:rPr>
          <w:rFonts w:ascii="Arial" w:eastAsia="Arial" w:hAnsi="Arial"/>
          <w:color w:val="000000"/>
          <w:sz w:val="20"/>
        </w:rPr>
        <w:t>E</w:t>
      </w:r>
      <w:r>
        <w:rPr>
          <w:rFonts w:ascii="Arial" w:eastAsia="Arial" w:hAnsi="Arial"/>
          <w:color w:val="000000"/>
          <w:sz w:val="16"/>
        </w:rPr>
        <w:t xml:space="preserve">STATE </w:t>
      </w:r>
      <w:r>
        <w:rPr>
          <w:rFonts w:ascii="Arial" w:eastAsia="Arial" w:hAnsi="Arial"/>
          <w:color w:val="000000"/>
          <w:sz w:val="20"/>
        </w:rPr>
        <w:t>T</w:t>
      </w:r>
      <w:r>
        <w:rPr>
          <w:rFonts w:ascii="Arial" w:eastAsia="Arial" w:hAnsi="Arial"/>
          <w:color w:val="000000"/>
          <w:sz w:val="16"/>
        </w:rPr>
        <w:t>RANSACTIONS</w:t>
      </w:r>
      <w:r w:rsidR="007D59BD">
        <w:rPr>
          <w:rFonts w:ascii="Arial" w:eastAsia="Arial" w:hAnsi="Arial"/>
          <w:color w:val="000000"/>
          <w:sz w:val="16"/>
        </w:rPr>
        <w:t xml:space="preserve">, </w:t>
      </w:r>
      <w:r w:rsidR="007D59BD" w:rsidRPr="007D59BD">
        <w:rPr>
          <w:rFonts w:ascii="Arial" w:eastAsia="Arial" w:hAnsi="Arial"/>
          <w:color w:val="000000"/>
          <w:sz w:val="20"/>
          <w:szCs w:val="20"/>
        </w:rPr>
        <w:t xml:space="preserve">First and Second </w:t>
      </w:r>
      <w:r w:rsidR="007D59BD">
        <w:rPr>
          <w:rFonts w:ascii="Arial" w:eastAsia="Arial" w:hAnsi="Arial"/>
          <w:color w:val="000000"/>
          <w:sz w:val="20"/>
          <w:szCs w:val="20"/>
        </w:rPr>
        <w:t>ed</w:t>
      </w:r>
      <w:r w:rsidR="007D59BD" w:rsidRPr="007D59BD">
        <w:rPr>
          <w:rFonts w:ascii="Arial" w:eastAsia="Arial" w:hAnsi="Arial"/>
          <w:color w:val="000000"/>
          <w:sz w:val="20"/>
          <w:szCs w:val="20"/>
        </w:rPr>
        <w:t>itions</w:t>
      </w:r>
      <w:r>
        <w:rPr>
          <w:rFonts w:ascii="Arial" w:eastAsia="Arial" w:hAnsi="Arial"/>
          <w:color w:val="000000"/>
          <w:sz w:val="16"/>
        </w:rPr>
        <w:t xml:space="preserve"> </w:t>
      </w:r>
      <w:r w:rsidR="007D59BD">
        <w:rPr>
          <w:rFonts w:ascii="Arial" w:eastAsia="Arial" w:hAnsi="Arial"/>
          <w:color w:val="000000"/>
          <w:sz w:val="20"/>
        </w:rPr>
        <w:t xml:space="preserve">(2000 </w:t>
      </w:r>
      <w:r>
        <w:rPr>
          <w:rFonts w:ascii="Arial" w:eastAsia="Arial" w:hAnsi="Arial"/>
          <w:color w:val="000000"/>
          <w:sz w:val="20"/>
        </w:rPr>
        <w:t>and 2016), Institute of Continuing Legal Education (</w:t>
      </w:r>
      <w:proofErr w:type="spellStart"/>
      <w:r>
        <w:rPr>
          <w:rFonts w:ascii="Arial" w:eastAsia="Arial" w:hAnsi="Arial"/>
          <w:color w:val="000000"/>
          <w:sz w:val="20"/>
        </w:rPr>
        <w:t>ICLE</w:t>
      </w:r>
      <w:proofErr w:type="spellEnd"/>
      <w:r>
        <w:rPr>
          <w:rFonts w:ascii="Arial" w:eastAsia="Arial" w:hAnsi="Arial"/>
          <w:color w:val="000000"/>
          <w:sz w:val="20"/>
        </w:rPr>
        <w:t>).</w:t>
      </w:r>
    </w:p>
    <w:p w:rsidR="00F4711F" w:rsidRDefault="00390856">
      <w:pPr>
        <w:spacing w:before="179" w:line="230" w:lineRule="exact"/>
        <w:ind w:firstLine="72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Author</w:t>
      </w:r>
      <w:r>
        <w:rPr>
          <w:rFonts w:ascii="Arial" w:eastAsia="Arial" w:hAnsi="Arial"/>
          <w:color w:val="000000"/>
          <w:sz w:val="20"/>
        </w:rPr>
        <w:t xml:space="preserve">: </w:t>
      </w:r>
      <w:r w:rsidR="00DC79C3" w:rsidRPr="00DC79C3">
        <w:rPr>
          <w:rFonts w:ascii="Arial" w:eastAsia="Arial" w:hAnsi="Arial"/>
          <w:i/>
          <w:color w:val="000000"/>
          <w:sz w:val="20"/>
        </w:rPr>
        <w:t>Court Finds Oral Commission Agreement May Be Enforceable</w:t>
      </w:r>
      <w:r w:rsidR="00DC79C3" w:rsidRPr="00DC79C3">
        <w:rPr>
          <w:rFonts w:ascii="Arial" w:eastAsia="Arial" w:hAnsi="Arial"/>
          <w:color w:val="000000"/>
          <w:sz w:val="20"/>
        </w:rPr>
        <w:t xml:space="preserve">, Commercial Board of </w:t>
      </w:r>
      <w:r w:rsidR="00DC79C3" w:rsidRPr="00DC79C3">
        <w:rPr>
          <w:rFonts w:ascii="Arial" w:eastAsia="Arial" w:hAnsi="Arial"/>
          <w:color w:val="000000"/>
          <w:sz w:val="20"/>
        </w:rPr>
        <w:br/>
        <w:t xml:space="preserve">Realtors and Michigan Land Title Association (2017); </w:t>
      </w:r>
      <w:r>
        <w:rPr>
          <w:rFonts w:ascii="Arial" w:eastAsia="Arial" w:hAnsi="Arial"/>
          <w:i/>
          <w:color w:val="000000"/>
          <w:sz w:val="20"/>
        </w:rPr>
        <w:t>Court Finds Oral Commission Agreement May be Enforceable</w:t>
      </w:r>
      <w:r>
        <w:rPr>
          <w:rFonts w:ascii="Arial" w:eastAsia="Arial" w:hAnsi="Arial"/>
          <w:color w:val="000000"/>
          <w:sz w:val="20"/>
        </w:rPr>
        <w:t xml:space="preserve">, Commercial Board of Realtors (2016); </w:t>
      </w:r>
      <w:r>
        <w:rPr>
          <w:rFonts w:ascii="Arial" w:eastAsia="Arial" w:hAnsi="Arial"/>
          <w:i/>
          <w:color w:val="000000"/>
          <w:sz w:val="20"/>
        </w:rPr>
        <w:t>U.S. Appeals Court Upholds IRS Forced Sale of Entireties Property Over Innocent Spouse's Objections</w:t>
      </w:r>
      <w:r>
        <w:rPr>
          <w:rFonts w:ascii="Arial" w:eastAsia="Arial" w:hAnsi="Arial"/>
          <w:color w:val="000000"/>
          <w:sz w:val="20"/>
        </w:rPr>
        <w:t xml:space="preserve">, Commercial Board of Realtors (2016); </w:t>
      </w:r>
      <w:r>
        <w:rPr>
          <w:rFonts w:ascii="Arial" w:eastAsia="Arial" w:hAnsi="Arial"/>
          <w:i/>
          <w:color w:val="000000"/>
          <w:sz w:val="20"/>
        </w:rPr>
        <w:t xml:space="preserve">Michigan Supreme Court Supports Key Transfer Tax Exemption, </w:t>
      </w:r>
      <w:r>
        <w:rPr>
          <w:rFonts w:ascii="Arial" w:eastAsia="Arial" w:hAnsi="Arial"/>
          <w:color w:val="000000"/>
          <w:sz w:val="20"/>
        </w:rPr>
        <w:t xml:space="preserve">Michigan Land Title Association Publication, The Title Examiner (Fall 2015); </w:t>
      </w:r>
      <w:r>
        <w:rPr>
          <w:rFonts w:ascii="Arial" w:eastAsia="Arial" w:hAnsi="Arial"/>
          <w:i/>
          <w:color w:val="000000"/>
          <w:sz w:val="20"/>
        </w:rPr>
        <w:t>Michigan Court of Appeals Decides Broker Lien Case</w:t>
      </w:r>
      <w:r>
        <w:rPr>
          <w:rFonts w:ascii="Arial" w:eastAsia="Arial" w:hAnsi="Arial"/>
          <w:color w:val="000000"/>
          <w:sz w:val="20"/>
        </w:rPr>
        <w:t xml:space="preserve">, Commercial Board of Realtors (2015); </w:t>
      </w:r>
      <w:r>
        <w:rPr>
          <w:rFonts w:ascii="Arial" w:eastAsia="Arial" w:hAnsi="Arial"/>
          <w:i/>
          <w:color w:val="000000"/>
          <w:sz w:val="20"/>
        </w:rPr>
        <w:t xml:space="preserve">Michigan Court Determines Condominium Association Lien Has Priority Over Prior Recorded Mortgage, </w:t>
      </w:r>
      <w:r>
        <w:rPr>
          <w:rFonts w:ascii="Arial" w:eastAsia="Arial" w:hAnsi="Arial"/>
          <w:color w:val="000000"/>
          <w:sz w:val="20"/>
        </w:rPr>
        <w:t>The Title Examiner (2014)</w:t>
      </w:r>
      <w:r>
        <w:rPr>
          <w:rFonts w:ascii="Arial" w:eastAsia="Arial" w:hAnsi="Arial"/>
          <w:i/>
          <w:color w:val="000000"/>
          <w:sz w:val="20"/>
        </w:rPr>
        <w:t>;</w:t>
      </w:r>
      <w:r>
        <w:rPr>
          <w:rFonts w:ascii="Arial" w:eastAsia="Arial" w:hAnsi="Arial"/>
          <w:color w:val="000000"/>
          <w:sz w:val="20"/>
        </w:rPr>
        <w:t xml:space="preserve"> </w:t>
      </w:r>
      <w:r w:rsidR="00375155">
        <w:rPr>
          <w:rFonts w:ascii="Arial" w:eastAsia="Arial" w:hAnsi="Arial"/>
          <w:i/>
          <w:color w:val="000000"/>
          <w:sz w:val="20"/>
        </w:rPr>
        <w:t>A </w:t>
      </w:r>
      <w:r>
        <w:rPr>
          <w:rFonts w:ascii="Arial" w:eastAsia="Arial" w:hAnsi="Arial"/>
          <w:i/>
          <w:color w:val="000000"/>
          <w:sz w:val="20"/>
        </w:rPr>
        <w:t xml:space="preserve">"Relatively" New Way to Avoid Uncapping Taxable Value, </w:t>
      </w:r>
      <w:r>
        <w:rPr>
          <w:rFonts w:ascii="Arial" w:eastAsia="Arial" w:hAnsi="Arial"/>
          <w:color w:val="000000"/>
          <w:sz w:val="20"/>
        </w:rPr>
        <w:t xml:space="preserve">The Title Examiner (2013); </w:t>
      </w:r>
      <w:r>
        <w:rPr>
          <w:rFonts w:ascii="Arial" w:eastAsia="Arial" w:hAnsi="Arial"/>
          <w:i/>
          <w:color w:val="000000"/>
          <w:sz w:val="20"/>
        </w:rPr>
        <w:t xml:space="preserve">Transfer Taxes and New Construction: A Legal Update, </w:t>
      </w:r>
      <w:r>
        <w:rPr>
          <w:rFonts w:ascii="Arial" w:eastAsia="Arial" w:hAnsi="Arial"/>
          <w:color w:val="000000"/>
          <w:sz w:val="20"/>
        </w:rPr>
        <w:t xml:space="preserve">Building Business &amp; Apartment Management (2012); </w:t>
      </w:r>
      <w:r>
        <w:rPr>
          <w:rFonts w:ascii="Arial" w:eastAsia="Arial" w:hAnsi="Arial"/>
          <w:i/>
          <w:color w:val="000000"/>
          <w:sz w:val="20"/>
        </w:rPr>
        <w:t xml:space="preserve">Can Commercial Builders and Developers (Legally) Avoid Paying Michigan State Real Estate Transfer Tax on New Construction?, </w:t>
      </w:r>
      <w:r>
        <w:rPr>
          <w:rFonts w:ascii="Arial" w:eastAsia="Arial" w:hAnsi="Arial"/>
          <w:color w:val="000000"/>
          <w:sz w:val="20"/>
        </w:rPr>
        <w:t xml:space="preserve">Commercial Board of Realtors News (2012); </w:t>
      </w:r>
      <w:r>
        <w:rPr>
          <w:rFonts w:ascii="Arial" w:eastAsia="Arial" w:hAnsi="Arial"/>
          <w:i/>
          <w:color w:val="000000"/>
          <w:sz w:val="20"/>
        </w:rPr>
        <w:t>6</w:t>
      </w:r>
      <w:r>
        <w:rPr>
          <w:rFonts w:ascii="Arial" w:eastAsia="Arial" w:hAnsi="Arial"/>
          <w:i/>
          <w:color w:val="000000"/>
          <w:sz w:val="20"/>
          <w:vertAlign w:val="superscript"/>
        </w:rPr>
        <w:t>th</w:t>
      </w:r>
      <w:r>
        <w:rPr>
          <w:rFonts w:ascii="Arial" w:eastAsia="Arial" w:hAnsi="Arial"/>
          <w:i/>
          <w:color w:val="000000"/>
          <w:sz w:val="20"/>
        </w:rPr>
        <w:t xml:space="preserve"> Circuit Court Confirms Underwriter Not Liable for Agent’s Actions, </w:t>
      </w:r>
      <w:r>
        <w:rPr>
          <w:rFonts w:ascii="Arial" w:eastAsia="Arial" w:hAnsi="Arial"/>
          <w:color w:val="000000"/>
          <w:sz w:val="20"/>
        </w:rPr>
        <w:t xml:space="preserve">The Title Examiner (2011); </w:t>
      </w:r>
      <w:r>
        <w:rPr>
          <w:rFonts w:ascii="Arial" w:eastAsia="Arial" w:hAnsi="Arial"/>
          <w:i/>
          <w:color w:val="000000"/>
          <w:sz w:val="20"/>
        </w:rPr>
        <w:t xml:space="preserve">What’s Michigan’s New Commercial Real Estate Broker Lien Act All About?, </w:t>
      </w:r>
      <w:r>
        <w:rPr>
          <w:rFonts w:ascii="Arial" w:eastAsia="Arial" w:hAnsi="Arial"/>
          <w:color w:val="000000"/>
          <w:sz w:val="20"/>
        </w:rPr>
        <w:t xml:space="preserve">Michigan Lawyers Weekly (2011); </w:t>
      </w:r>
      <w:r>
        <w:rPr>
          <w:rFonts w:ascii="Arial" w:eastAsia="Arial" w:hAnsi="Arial"/>
          <w:i/>
          <w:color w:val="000000"/>
          <w:sz w:val="20"/>
        </w:rPr>
        <w:t>Warranty Work Does Not Extend Time to Record Construction Lien</w:t>
      </w:r>
      <w:r>
        <w:rPr>
          <w:rFonts w:ascii="Arial" w:eastAsia="Arial" w:hAnsi="Arial"/>
          <w:color w:val="000000"/>
          <w:sz w:val="20"/>
        </w:rPr>
        <w:t>, The Title Examiner (2011)</w:t>
      </w:r>
      <w:r w:rsidR="00375155">
        <w:rPr>
          <w:rFonts w:ascii="Arial" w:eastAsia="Arial" w:hAnsi="Arial"/>
          <w:color w:val="000000"/>
          <w:sz w:val="20"/>
        </w:rPr>
        <w:t>.</w:t>
      </w:r>
    </w:p>
    <w:p w:rsidR="00F4711F" w:rsidRDefault="00390856">
      <w:pPr>
        <w:spacing w:before="179" w:line="230" w:lineRule="exact"/>
        <w:ind w:firstLine="72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Speaker</w:t>
      </w:r>
      <w:r>
        <w:rPr>
          <w:rFonts w:ascii="Arial" w:eastAsia="Arial" w:hAnsi="Arial"/>
          <w:color w:val="000000"/>
          <w:sz w:val="20"/>
        </w:rPr>
        <w:t>:</w:t>
      </w:r>
      <w:r w:rsidR="00375155"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 xml:space="preserve">Institute of Continuing Legal Education; State Bar of Michigan; Michigan Land Title Association; Building Industry Association of Southeastern Michigan; Michigan Association of Certified Public Accountants; </w:t>
      </w:r>
      <w:r w:rsidR="00375155">
        <w:rPr>
          <w:rFonts w:ascii="Arial" w:eastAsia="Arial" w:hAnsi="Arial"/>
          <w:color w:val="000000"/>
          <w:sz w:val="20"/>
        </w:rPr>
        <w:t xml:space="preserve">International Council of Shopping Centers; </w:t>
      </w:r>
      <w:r>
        <w:rPr>
          <w:rFonts w:ascii="Arial" w:eastAsia="Arial" w:hAnsi="Arial"/>
          <w:color w:val="000000"/>
          <w:sz w:val="20"/>
        </w:rPr>
        <w:t xml:space="preserve">Commercial Board of Realtors; </w:t>
      </w:r>
      <w:proofErr w:type="spellStart"/>
      <w:r w:rsidR="00415788">
        <w:rPr>
          <w:rFonts w:ascii="Arial" w:eastAsia="Arial" w:hAnsi="Arial"/>
          <w:color w:val="000000"/>
          <w:sz w:val="20"/>
        </w:rPr>
        <w:t>CCIM</w:t>
      </w:r>
      <w:proofErr w:type="spellEnd"/>
      <w:r w:rsidR="00415788">
        <w:rPr>
          <w:rFonts w:ascii="Arial" w:eastAsia="Arial" w:hAnsi="Arial"/>
          <w:color w:val="000000"/>
          <w:sz w:val="20"/>
        </w:rPr>
        <w:t xml:space="preserve"> Institute; </w:t>
      </w:r>
      <w:r>
        <w:rPr>
          <w:rFonts w:ascii="Arial" w:eastAsia="Arial" w:hAnsi="Arial"/>
          <w:color w:val="000000"/>
          <w:sz w:val="20"/>
        </w:rPr>
        <w:t>Realtors Land Institute; Real Estate One; Keller Williams Realty.</w:t>
      </w:r>
    </w:p>
    <w:p w:rsidR="00F4711F" w:rsidRDefault="00390856">
      <w:pPr>
        <w:spacing w:before="180" w:line="230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Member</w:t>
      </w:r>
      <w:r>
        <w:rPr>
          <w:rFonts w:ascii="Arial" w:eastAsia="Arial" w:hAnsi="Arial"/>
          <w:color w:val="000000"/>
          <w:sz w:val="20"/>
        </w:rPr>
        <w:t xml:space="preserve">: State Bar of Michigan: Real Property Law Section, former Member of </w:t>
      </w:r>
      <w:r w:rsidR="00415788">
        <w:rPr>
          <w:rFonts w:ascii="Arial" w:eastAsia="Arial" w:hAnsi="Arial"/>
          <w:color w:val="000000"/>
          <w:sz w:val="20"/>
        </w:rPr>
        <w:t xml:space="preserve">Real Property Law Section </w:t>
      </w:r>
      <w:r>
        <w:rPr>
          <w:rFonts w:ascii="Arial" w:eastAsia="Arial" w:hAnsi="Arial"/>
          <w:color w:val="000000"/>
          <w:sz w:val="20"/>
        </w:rPr>
        <w:t xml:space="preserve">Governing Council; Former Chair, Residential Transactions Committee; Member, Sections on Environmental Law and Business Law; New York State Bar; American Bar Association; Oakland County Bar Association; </w:t>
      </w:r>
      <w:r w:rsidR="00415788">
        <w:rPr>
          <w:rFonts w:ascii="Arial" w:eastAsia="Arial" w:hAnsi="Arial"/>
          <w:color w:val="000000"/>
          <w:sz w:val="20"/>
        </w:rPr>
        <w:t xml:space="preserve">Member, Board of Directors of Commercial Board of Realtors, and Chair, Programs and Education </w:t>
      </w:r>
      <w:r w:rsidR="00B53017">
        <w:rPr>
          <w:rFonts w:ascii="Arial" w:eastAsia="Arial" w:hAnsi="Arial"/>
          <w:color w:val="000000"/>
          <w:sz w:val="20"/>
        </w:rPr>
        <w:t xml:space="preserve">Committee </w:t>
      </w:r>
      <w:r w:rsidR="00415788">
        <w:rPr>
          <w:rFonts w:ascii="Arial" w:eastAsia="Arial" w:hAnsi="Arial"/>
          <w:color w:val="000000"/>
          <w:sz w:val="20"/>
        </w:rPr>
        <w:t xml:space="preserve">and Forms Committee; Membership and Education Committees, </w:t>
      </w:r>
      <w:r>
        <w:rPr>
          <w:rFonts w:ascii="Arial" w:eastAsia="Arial" w:hAnsi="Arial"/>
          <w:color w:val="000000"/>
          <w:sz w:val="20"/>
        </w:rPr>
        <w:t xml:space="preserve">Michigan Land Title Association: former Chair, Membership Committee; </w:t>
      </w:r>
      <w:r w:rsidR="00415788">
        <w:rPr>
          <w:rFonts w:ascii="Arial" w:eastAsia="Arial" w:hAnsi="Arial"/>
          <w:color w:val="000000"/>
          <w:sz w:val="20"/>
        </w:rPr>
        <w:t xml:space="preserve">former Member, </w:t>
      </w:r>
      <w:proofErr w:type="spellStart"/>
      <w:r>
        <w:rPr>
          <w:rFonts w:ascii="Arial" w:eastAsia="Arial" w:hAnsi="Arial"/>
          <w:color w:val="000000"/>
          <w:sz w:val="20"/>
        </w:rPr>
        <w:t>ICLE</w:t>
      </w:r>
      <w:proofErr w:type="spellEnd"/>
      <w:r>
        <w:rPr>
          <w:rFonts w:ascii="Arial" w:eastAsia="Arial" w:hAnsi="Arial"/>
          <w:color w:val="000000"/>
          <w:sz w:val="20"/>
        </w:rPr>
        <w:t xml:space="preserve"> Real Property Law Advisory Board; Former Member of Boards of Directors of Building Industry Association of Southeastern Michigan and Habitat for Humanity of Michigan.</w:t>
      </w:r>
    </w:p>
    <w:p w:rsidR="00F4711F" w:rsidRPr="000F048E" w:rsidRDefault="00390856" w:rsidP="002F5F7A">
      <w:pPr>
        <w:spacing w:before="179"/>
        <w:ind w:right="43" w:firstLine="72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 xml:space="preserve">Honors: </w:t>
      </w:r>
      <w:r w:rsidR="00B53017">
        <w:rPr>
          <w:rFonts w:ascii="Arial" w:eastAsia="Arial" w:hAnsi="Arial"/>
          <w:color w:val="000000"/>
          <w:spacing w:val="-1"/>
          <w:sz w:val="20"/>
        </w:rPr>
        <w:t>S</w:t>
      </w:r>
      <w:r w:rsidR="00B53017">
        <w:rPr>
          <w:rFonts w:ascii="Arial" w:eastAsia="Arial" w:hAnsi="Arial"/>
          <w:color w:val="000000"/>
          <w:sz w:val="20"/>
        </w:rPr>
        <w:t xml:space="preserve">elected as a ‘Top Rated Lawyer in Real Estate’ by </w:t>
      </w:r>
      <w:r w:rsidR="00B53017">
        <w:rPr>
          <w:rFonts w:ascii="Arial" w:eastAsia="Arial" w:hAnsi="Arial"/>
          <w:i/>
          <w:color w:val="000000"/>
          <w:sz w:val="20"/>
        </w:rPr>
        <w:t xml:space="preserve">The American Lawyer </w:t>
      </w:r>
      <w:r w:rsidR="00B53017">
        <w:rPr>
          <w:rFonts w:ascii="Arial" w:eastAsia="Arial" w:hAnsi="Arial"/>
          <w:color w:val="000000"/>
          <w:sz w:val="20"/>
        </w:rPr>
        <w:t xml:space="preserve">&amp; </w:t>
      </w:r>
      <w:r w:rsidR="00B53017">
        <w:rPr>
          <w:rFonts w:ascii="Arial" w:eastAsia="Arial" w:hAnsi="Arial"/>
          <w:i/>
          <w:color w:val="000000"/>
          <w:sz w:val="20"/>
        </w:rPr>
        <w:t xml:space="preserve">Corporate Counsel </w:t>
      </w:r>
      <w:r w:rsidR="00B53017">
        <w:rPr>
          <w:rFonts w:ascii="Arial" w:eastAsia="Arial" w:hAnsi="Arial"/>
          <w:color w:val="000000"/>
          <w:sz w:val="20"/>
        </w:rPr>
        <w:t>magazine</w:t>
      </w:r>
      <w:r w:rsidR="00B53017">
        <w:rPr>
          <w:rFonts w:eastAsia="Times New Roman"/>
          <w:color w:val="000000"/>
          <w:sz w:val="20"/>
        </w:rPr>
        <w:t xml:space="preserve">; </w:t>
      </w:r>
      <w:r w:rsidR="00B53017">
        <w:rPr>
          <w:rFonts w:ascii="Arial" w:eastAsia="Arial" w:hAnsi="Arial"/>
          <w:color w:val="000000"/>
          <w:spacing w:val="-1"/>
          <w:sz w:val="20"/>
        </w:rPr>
        <w:t xml:space="preserve">selected by </w:t>
      </w:r>
      <w:r w:rsidR="00B53017">
        <w:rPr>
          <w:rFonts w:ascii="Arial" w:eastAsia="Arial" w:hAnsi="Arial"/>
          <w:i/>
          <w:color w:val="000000"/>
          <w:spacing w:val="-1"/>
          <w:sz w:val="20"/>
        </w:rPr>
        <w:t xml:space="preserve">Super Lawyers </w:t>
      </w:r>
      <w:r w:rsidR="00B53017">
        <w:rPr>
          <w:rFonts w:ascii="Arial" w:eastAsia="Arial" w:hAnsi="Arial"/>
          <w:color w:val="000000"/>
          <w:spacing w:val="-1"/>
          <w:sz w:val="20"/>
        </w:rPr>
        <w:t xml:space="preserve">magazine as one of the 5% best attorneys in Michigan; </w:t>
      </w:r>
      <w:r w:rsidR="00B53017">
        <w:rPr>
          <w:rFonts w:ascii="Arial" w:eastAsia="Arial" w:hAnsi="Arial"/>
          <w:color w:val="000000"/>
          <w:sz w:val="20"/>
        </w:rPr>
        <w:t xml:space="preserve">named one of Top Lawyers in Metro Detroit by </w:t>
      </w:r>
      <w:proofErr w:type="spellStart"/>
      <w:r w:rsidR="00B53017">
        <w:rPr>
          <w:rFonts w:ascii="Arial" w:eastAsia="Arial" w:hAnsi="Arial"/>
          <w:i/>
          <w:color w:val="000000"/>
          <w:sz w:val="20"/>
          <w:u w:val="single"/>
        </w:rPr>
        <w:t>dbusiness</w:t>
      </w:r>
      <w:proofErr w:type="spellEnd"/>
      <w:r w:rsidR="00B53017">
        <w:rPr>
          <w:rFonts w:ascii="Arial" w:eastAsia="Arial" w:hAnsi="Arial"/>
          <w:color w:val="000000"/>
          <w:sz w:val="20"/>
        </w:rPr>
        <w:t>, Detroit’s premier business journal;</w:t>
      </w:r>
      <w:r w:rsidR="00B53017">
        <w:rPr>
          <w:rFonts w:ascii="Arial" w:eastAsia="Arial" w:hAnsi="Arial"/>
          <w:color w:val="000000"/>
          <w:spacing w:val="-1"/>
          <w:sz w:val="20"/>
        </w:rPr>
        <w:t xml:space="preserve"> </w:t>
      </w:r>
      <w:r>
        <w:rPr>
          <w:rFonts w:ascii="Arial" w:eastAsia="Arial" w:hAnsi="Arial"/>
          <w:color w:val="000000"/>
          <w:spacing w:val="-1"/>
          <w:sz w:val="20"/>
        </w:rPr>
        <w:t xml:space="preserve">Robert J. Jay award for outstanding leadership and contribution to the </w:t>
      </w:r>
      <w:r w:rsidR="002F5F7A">
        <w:rPr>
          <w:rFonts w:ascii="Arial" w:eastAsia="Arial" w:hAnsi="Arial"/>
          <w:color w:val="000000"/>
          <w:spacing w:val="-1"/>
          <w:sz w:val="20"/>
        </w:rPr>
        <w:t>Michigan Land Title Association</w:t>
      </w:r>
      <w:r w:rsidR="00B53017">
        <w:rPr>
          <w:rFonts w:ascii="Arial" w:eastAsia="Arial" w:hAnsi="Arial"/>
          <w:color w:val="000000"/>
          <w:spacing w:val="-1"/>
          <w:sz w:val="20"/>
        </w:rPr>
        <w:t>,</w:t>
      </w:r>
      <w:r w:rsidR="002F5F7A">
        <w:rPr>
          <w:rFonts w:ascii="Arial" w:eastAsia="Arial" w:hAnsi="Arial"/>
          <w:color w:val="000000"/>
          <w:spacing w:val="-1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in the fields of real estate, env</w:t>
      </w:r>
      <w:r w:rsidR="000F048E">
        <w:rPr>
          <w:rFonts w:ascii="Arial" w:eastAsia="Arial" w:hAnsi="Arial"/>
          <w:color w:val="000000"/>
          <w:sz w:val="20"/>
        </w:rPr>
        <w:t xml:space="preserve">ironmental law and business law; selected as a 2018 Leading Lawyer by </w:t>
      </w:r>
      <w:r w:rsidR="000F048E">
        <w:rPr>
          <w:rFonts w:ascii="Arial" w:eastAsia="Arial" w:hAnsi="Arial"/>
          <w:i/>
          <w:color w:val="000000"/>
          <w:sz w:val="20"/>
        </w:rPr>
        <w:t xml:space="preserve">Leading Lawyers </w:t>
      </w:r>
      <w:r w:rsidR="000F048E">
        <w:rPr>
          <w:rFonts w:ascii="Arial" w:eastAsia="Arial" w:hAnsi="Arial"/>
          <w:color w:val="000000"/>
          <w:sz w:val="20"/>
        </w:rPr>
        <w:t>magazine</w:t>
      </w:r>
      <w:r w:rsidR="00670511">
        <w:rPr>
          <w:rFonts w:ascii="Arial" w:eastAsia="Arial" w:hAnsi="Arial"/>
          <w:color w:val="000000"/>
          <w:sz w:val="20"/>
        </w:rPr>
        <w:t>; selected as a 2018 Detroit Top Lawyer</w:t>
      </w:r>
      <w:r w:rsidR="00B26A0E">
        <w:rPr>
          <w:rFonts w:ascii="Arial" w:eastAsia="Arial" w:hAnsi="Arial"/>
          <w:color w:val="000000"/>
          <w:sz w:val="20"/>
        </w:rPr>
        <w:t xml:space="preserve"> by </w:t>
      </w:r>
      <w:r w:rsidR="00B26A0E">
        <w:rPr>
          <w:rFonts w:ascii="Arial" w:eastAsia="Arial" w:hAnsi="Arial"/>
          <w:i/>
          <w:color w:val="000000"/>
          <w:sz w:val="20"/>
        </w:rPr>
        <w:t xml:space="preserve">Detroit Business </w:t>
      </w:r>
      <w:r w:rsidR="00B26A0E">
        <w:rPr>
          <w:rFonts w:ascii="Arial" w:eastAsia="Arial" w:hAnsi="Arial"/>
          <w:color w:val="000000"/>
          <w:sz w:val="20"/>
        </w:rPr>
        <w:t>magazine</w:t>
      </w:r>
      <w:bookmarkStart w:id="0" w:name="_GoBack"/>
      <w:bookmarkEnd w:id="0"/>
      <w:r w:rsidR="000F048E">
        <w:rPr>
          <w:rFonts w:ascii="Arial" w:eastAsia="Arial" w:hAnsi="Arial"/>
          <w:color w:val="000000"/>
          <w:sz w:val="20"/>
        </w:rPr>
        <w:t>.</w:t>
      </w:r>
    </w:p>
    <w:sectPr w:rsidR="00F4711F" w:rsidRPr="000F048E">
      <w:pgSz w:w="12240" w:h="15840"/>
      <w:pgMar w:top="460" w:right="685" w:bottom="544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4711F"/>
    <w:rsid w:val="00010C47"/>
    <w:rsid w:val="000F048E"/>
    <w:rsid w:val="002521F4"/>
    <w:rsid w:val="002F5F7A"/>
    <w:rsid w:val="00375155"/>
    <w:rsid w:val="00390856"/>
    <w:rsid w:val="00415788"/>
    <w:rsid w:val="0043213F"/>
    <w:rsid w:val="00670511"/>
    <w:rsid w:val="006A6891"/>
    <w:rsid w:val="007D59BD"/>
    <w:rsid w:val="008052EB"/>
    <w:rsid w:val="00854945"/>
    <w:rsid w:val="00B26A0E"/>
    <w:rsid w:val="00B53017"/>
    <w:rsid w:val="00DC79C3"/>
    <w:rsid w:val="00F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couzens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gg.nathanson@couzen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6B27-DC70-4005-874E-7AF22DF4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K. Eccles</dc:creator>
  <cp:lastModifiedBy>Shawn K. Eccles</cp:lastModifiedBy>
  <cp:revision>3</cp:revision>
  <cp:lastPrinted>2018-02-28T19:29:00Z</cp:lastPrinted>
  <dcterms:created xsi:type="dcterms:W3CDTF">2018-08-17T14:23:00Z</dcterms:created>
  <dcterms:modified xsi:type="dcterms:W3CDTF">2018-08-17T14:23:00Z</dcterms:modified>
</cp:coreProperties>
</file>