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E2DC" w14:textId="77777777" w:rsidR="007932BA" w:rsidRPr="007932BA" w:rsidRDefault="007932BA" w:rsidP="007932BA">
      <w:pPr>
        <w:shd w:val="clear" w:color="auto" w:fill="FFFFFF"/>
        <w:spacing w:after="315"/>
        <w:rPr>
          <w:rFonts w:ascii="Arial" w:eastAsia="Times New Roman" w:hAnsi="Arial" w:cs="Arial"/>
          <w:color w:val="545454"/>
          <w:sz w:val="20"/>
          <w:szCs w:val="20"/>
        </w:rPr>
      </w:pPr>
      <w:r w:rsidRPr="007932BA">
        <w:rPr>
          <w:rFonts w:ascii="Arial" w:eastAsia="Times New Roman" w:hAnsi="Arial" w:cs="Arial"/>
          <w:b/>
          <w:bCs/>
          <w:color w:val="545454"/>
          <w:sz w:val="20"/>
          <w:szCs w:val="20"/>
        </w:rPr>
        <w:t>PHILLIP J. NEUMAN </w:t>
      </w:r>
      <w:r w:rsidRPr="007932BA">
        <w:rPr>
          <w:rFonts w:ascii="Arial" w:eastAsia="Times New Roman" w:hAnsi="Arial" w:cs="Arial"/>
          <w:color w:val="545454"/>
          <w:sz w:val="20"/>
          <w:szCs w:val="20"/>
        </w:rPr>
        <w:t>is a shareholder of the firm. Mr. Neuman focuses his practice on real estate and business litigation, including title issues, construction lien matters, contract disputes and commercial and residential landlord tenant matters.  Examples of the types of matters he has handled include:</w:t>
      </w:r>
    </w:p>
    <w:p w14:paraId="51A2D2F5" w14:textId="77777777" w:rsidR="007932BA" w:rsidRPr="007932BA" w:rsidRDefault="007932BA" w:rsidP="007932BA">
      <w:pPr>
        <w:numPr>
          <w:ilvl w:val="0"/>
          <w:numId w:val="1"/>
        </w:numPr>
        <w:shd w:val="clear" w:color="auto" w:fill="FFFFFF"/>
        <w:spacing w:before="100" w:beforeAutospacing="1" w:after="100" w:afterAutospacing="1"/>
        <w:ind w:left="1117"/>
        <w:rPr>
          <w:rFonts w:ascii="Arial" w:eastAsia="Times New Roman" w:hAnsi="Arial" w:cs="Arial"/>
          <w:color w:val="545454"/>
          <w:sz w:val="20"/>
          <w:szCs w:val="20"/>
        </w:rPr>
      </w:pPr>
      <w:r w:rsidRPr="007932BA">
        <w:rPr>
          <w:rFonts w:ascii="Arial" w:eastAsia="Times New Roman" w:hAnsi="Arial" w:cs="Arial"/>
          <w:color w:val="545454"/>
          <w:sz w:val="20"/>
          <w:szCs w:val="20"/>
        </w:rPr>
        <w:t xml:space="preserve">Real estate litigation in Michigan and federal courts, including quiet title actions, title insurance coverage, mortgage priority disputes, adverse possession claims, forged deeds, construction lien foreclosure and condominium and </w:t>
      </w:r>
      <w:proofErr w:type="gramStart"/>
      <w:r w:rsidRPr="007932BA">
        <w:rPr>
          <w:rFonts w:ascii="Arial" w:eastAsia="Times New Roman" w:hAnsi="Arial" w:cs="Arial"/>
          <w:color w:val="545454"/>
          <w:sz w:val="20"/>
          <w:szCs w:val="20"/>
        </w:rPr>
        <w:t>homeowners</w:t>
      </w:r>
      <w:proofErr w:type="gramEnd"/>
      <w:r w:rsidRPr="007932BA">
        <w:rPr>
          <w:rFonts w:ascii="Arial" w:eastAsia="Times New Roman" w:hAnsi="Arial" w:cs="Arial"/>
          <w:color w:val="545454"/>
          <w:sz w:val="20"/>
          <w:szCs w:val="20"/>
        </w:rPr>
        <w:t xml:space="preserve"> association lien foreclosure</w:t>
      </w:r>
    </w:p>
    <w:p w14:paraId="6E83F451" w14:textId="77777777" w:rsidR="007932BA" w:rsidRPr="007932BA" w:rsidRDefault="007932BA" w:rsidP="007932BA">
      <w:pPr>
        <w:numPr>
          <w:ilvl w:val="0"/>
          <w:numId w:val="1"/>
        </w:numPr>
        <w:shd w:val="clear" w:color="auto" w:fill="FFFFFF"/>
        <w:spacing w:before="100" w:beforeAutospacing="1" w:after="100" w:afterAutospacing="1"/>
        <w:ind w:left="1117"/>
        <w:rPr>
          <w:rFonts w:ascii="Arial" w:eastAsia="Times New Roman" w:hAnsi="Arial" w:cs="Arial"/>
          <w:color w:val="545454"/>
          <w:sz w:val="20"/>
          <w:szCs w:val="20"/>
        </w:rPr>
      </w:pPr>
      <w:r w:rsidRPr="007932BA">
        <w:rPr>
          <w:rFonts w:ascii="Arial" w:eastAsia="Times New Roman" w:hAnsi="Arial" w:cs="Arial"/>
          <w:color w:val="545454"/>
          <w:sz w:val="20"/>
          <w:szCs w:val="20"/>
        </w:rPr>
        <w:t>Resolution of title disputes, including reformation of recorded documents, boundary disputes</w:t>
      </w:r>
    </w:p>
    <w:p w14:paraId="5740B62B" w14:textId="77777777" w:rsidR="007932BA" w:rsidRPr="007932BA" w:rsidRDefault="007932BA" w:rsidP="007932BA">
      <w:pPr>
        <w:numPr>
          <w:ilvl w:val="0"/>
          <w:numId w:val="1"/>
        </w:numPr>
        <w:shd w:val="clear" w:color="auto" w:fill="FFFFFF"/>
        <w:spacing w:before="100" w:beforeAutospacing="1" w:after="100" w:afterAutospacing="1"/>
        <w:ind w:left="1117"/>
        <w:rPr>
          <w:rFonts w:ascii="Arial" w:eastAsia="Times New Roman" w:hAnsi="Arial" w:cs="Arial"/>
          <w:color w:val="545454"/>
          <w:sz w:val="20"/>
          <w:szCs w:val="20"/>
        </w:rPr>
      </w:pPr>
      <w:r w:rsidRPr="007932BA">
        <w:rPr>
          <w:rFonts w:ascii="Arial" w:eastAsia="Times New Roman" w:hAnsi="Arial" w:cs="Arial"/>
          <w:color w:val="545454"/>
          <w:sz w:val="20"/>
          <w:szCs w:val="20"/>
        </w:rPr>
        <w:t xml:space="preserve">Landlord tenant evictions and lease negotiation, drafting, interpretation, </w:t>
      </w:r>
      <w:proofErr w:type="gramStart"/>
      <w:r w:rsidRPr="007932BA">
        <w:rPr>
          <w:rFonts w:ascii="Arial" w:eastAsia="Times New Roman" w:hAnsi="Arial" w:cs="Arial"/>
          <w:color w:val="545454"/>
          <w:sz w:val="20"/>
          <w:szCs w:val="20"/>
        </w:rPr>
        <w:t>enforcement</w:t>
      </w:r>
      <w:proofErr w:type="gramEnd"/>
      <w:r w:rsidRPr="007932BA">
        <w:rPr>
          <w:rFonts w:ascii="Arial" w:eastAsia="Times New Roman" w:hAnsi="Arial" w:cs="Arial"/>
          <w:color w:val="545454"/>
          <w:sz w:val="20"/>
          <w:szCs w:val="20"/>
        </w:rPr>
        <w:t xml:space="preserve"> and litigation</w:t>
      </w:r>
    </w:p>
    <w:p w14:paraId="68997B71" w14:textId="77777777" w:rsidR="007932BA" w:rsidRPr="007932BA" w:rsidRDefault="007932BA" w:rsidP="007932BA">
      <w:pPr>
        <w:numPr>
          <w:ilvl w:val="0"/>
          <w:numId w:val="1"/>
        </w:numPr>
        <w:shd w:val="clear" w:color="auto" w:fill="FFFFFF"/>
        <w:spacing w:before="100" w:beforeAutospacing="1" w:after="100" w:afterAutospacing="1"/>
        <w:ind w:left="1117"/>
        <w:rPr>
          <w:rFonts w:ascii="Arial" w:eastAsia="Times New Roman" w:hAnsi="Arial" w:cs="Arial"/>
          <w:color w:val="545454"/>
          <w:sz w:val="20"/>
          <w:szCs w:val="20"/>
        </w:rPr>
      </w:pPr>
      <w:r w:rsidRPr="007932BA">
        <w:rPr>
          <w:rFonts w:ascii="Arial" w:eastAsia="Times New Roman" w:hAnsi="Arial" w:cs="Arial"/>
          <w:color w:val="545454"/>
          <w:sz w:val="20"/>
          <w:szCs w:val="20"/>
        </w:rPr>
        <w:t>Commercial litigation involving business contracts of all types</w:t>
      </w:r>
    </w:p>
    <w:p w14:paraId="63218680" w14:textId="77777777" w:rsidR="007932BA" w:rsidRPr="007932BA" w:rsidRDefault="007932BA" w:rsidP="007932BA">
      <w:pPr>
        <w:numPr>
          <w:ilvl w:val="0"/>
          <w:numId w:val="1"/>
        </w:numPr>
        <w:shd w:val="clear" w:color="auto" w:fill="FFFFFF"/>
        <w:spacing w:before="100" w:beforeAutospacing="1" w:after="100" w:afterAutospacing="1"/>
        <w:ind w:left="1117"/>
        <w:rPr>
          <w:rFonts w:ascii="Arial" w:eastAsia="Times New Roman" w:hAnsi="Arial" w:cs="Arial"/>
          <w:color w:val="545454"/>
          <w:sz w:val="20"/>
          <w:szCs w:val="20"/>
        </w:rPr>
      </w:pPr>
      <w:r w:rsidRPr="007932BA">
        <w:rPr>
          <w:rFonts w:ascii="Arial" w:eastAsia="Times New Roman" w:hAnsi="Arial" w:cs="Arial"/>
          <w:color w:val="545454"/>
          <w:sz w:val="20"/>
          <w:szCs w:val="20"/>
        </w:rPr>
        <w:t xml:space="preserve">Bankruptcy matters, including </w:t>
      </w:r>
      <w:proofErr w:type="spellStart"/>
      <w:r w:rsidRPr="007932BA">
        <w:rPr>
          <w:rFonts w:ascii="Arial" w:eastAsia="Times New Roman" w:hAnsi="Arial" w:cs="Arial"/>
          <w:color w:val="545454"/>
          <w:sz w:val="20"/>
          <w:szCs w:val="20"/>
        </w:rPr>
        <w:t>nondischargeability</w:t>
      </w:r>
      <w:proofErr w:type="spellEnd"/>
      <w:r w:rsidRPr="007932BA">
        <w:rPr>
          <w:rFonts w:ascii="Arial" w:eastAsia="Times New Roman" w:hAnsi="Arial" w:cs="Arial"/>
          <w:color w:val="545454"/>
          <w:sz w:val="20"/>
          <w:szCs w:val="20"/>
        </w:rPr>
        <w:t xml:space="preserve"> claims (published opinion of the Sixth Circuit Court of Appeals) and automatic stay issues</w:t>
      </w:r>
    </w:p>
    <w:p w14:paraId="6CA296C2" w14:textId="77777777" w:rsidR="00907956" w:rsidRDefault="00907956"/>
    <w:sectPr w:rsidR="00907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77B90"/>
    <w:multiLevelType w:val="multilevel"/>
    <w:tmpl w:val="5268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5882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BA"/>
    <w:rsid w:val="007932BA"/>
    <w:rsid w:val="00907956"/>
    <w:rsid w:val="00EB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C3D3"/>
  <w15:chartTrackingRefBased/>
  <w15:docId w15:val="{181C2F94-9FBF-4BD0-BD21-CFA0BFB0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2B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93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2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Lay</dc:creator>
  <cp:keywords/>
  <dc:description/>
  <cp:lastModifiedBy>Marcy Lay</cp:lastModifiedBy>
  <cp:revision>2</cp:revision>
  <dcterms:created xsi:type="dcterms:W3CDTF">2023-01-05T18:30:00Z</dcterms:created>
  <dcterms:modified xsi:type="dcterms:W3CDTF">2023-01-05T18:30:00Z</dcterms:modified>
</cp:coreProperties>
</file>